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Пояснение по заполнению формы «Отчет об изменениях в капитале»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proofErr w:type="gramStart"/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1) Форма «Отчет об изменениях в капитале)» разработана в соответствии с подпунктом 18-1) пункта 5 статьи 20 Закона Республики Казахстан от 28 февраля 2007 года «О бухгалтерском учете и финансовой отчетности»;</w:t>
      </w:r>
      <w:proofErr w:type="gramEnd"/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2) Форма «Отчет об изменениях в капитале» представляется организациями публичного интереса по результатам финансового года в депозитарий финансовой отчетности в электронном формате посредством программного обеспечения. Подписывается «Отчет об изменениях в капитале» электронной цифровой подписью организации, выданной национальным удостоверяющим центром. Электронный формат отчета, который представляется в депозитарий финансовой отчетности формируется после утверждения его учредителями и представляется не позднее 31 августа года следующего </w:t>
      </w:r>
      <w:proofErr w:type="gramStart"/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за</w:t>
      </w:r>
      <w:proofErr w:type="gramEnd"/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отчетным. Основной задачей ведения данной формы является осуществление мониторинга за соблюдением бухгалтерского законодательства Республики Казахстан;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3) Форма заполняется следующим образом: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в графе «Наименование компонентов»: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«Сальдо на 1 января предыдущего года» 010;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«Изменение в учетной политике» 011;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В графе «Пересчитанное сальдо» 100 указывается +/- строк 010 и 011;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Значение графы «Общий совокупный доход, всего» 200 равно сумме строк 210 и 220: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«Прибыль (убыток) за год» 210;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Значение графы «Прочий совокупный доход, всего» 220 равно сумме строк с 221 по 229,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в том числе: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«переоценка долговых финансовых инструментов, оцениваемых по справедливой стоимости через прочий совокупный доход (за минусом налогового эффекта)» 221;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«переоценка долевых финансовых инструментов, оцениваемых по справедливой стоимости через прочий совокупный доход (за минусом налогового эффекта)» 222;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«переоценка основных средств и нематериальных активов (за минусом налогового эффекта)» 223;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«доля в прочем совокупном доходе (убытке) ассоциированных организаций и совместной деятельности, учитываемых по методу долевого участия» 224;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«актуарные прибыли (убытки) по пенсионным обязательствам» 225;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«эффект изменения в ставке подоходного налога на отсроченный налог» 226;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«хеджирование денежных потоков (за минусом налогового эффекта)» 227;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lastRenderedPageBreak/>
        <w:t>«хеджирование чистых инвестиций в зарубежные операции» 228;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«курсовая разница по инвестициям в зарубежные организации» 229;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Значение графы «Операции с собственниками, всего» 300 равно сумме строк с 310 по 318,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в том числе: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«Вознаграждения работников акциями» 310;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в том числе: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стоимость услуг работников;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выпуск акций по схеме вознаграждения работников акциями;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налоговая выгода в отношении схемы вознаграждения работников акциями;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«Взносы собственников» 311;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«Выпуск собственных долевых инструментов (акций)» 312;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«Выпуск долевых инструментов, связанный с объединением бизнеса» 313;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«Долевой компонент конвертируемых инструментов (за минусом налогового эффекта)» 314;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«Выплата дивидендов» 315;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«Прочие распределения в пользу собственников» 316;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«Прочие операции с собственниками» 317;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«Изменения в доле участия в дочерних организациях, не приводящей к потере контроля» 318;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«Прочие операции 319»;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Значение графы «Сальдо на 1 января отчетного года» 400 равно сумме строк 100, 200, 300 и 319;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«Изменение в учетной политике» 401;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Значение графы «Пересчитанное сальдо» 500 равно +/- строк 400 и 401;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Значение графы «Общий совокупный доход, всего» 600 равно сумме строк 610 и 620: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«Прибыль (убыток) за год» 610;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Значение графы «Прочий совокупный доход, всего» 620 равно сумме строк с 621 по 629,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в том числе: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lastRenderedPageBreak/>
        <w:t>«переоценка долговых финансовых инструментов, оцениваемых по справедливой стоимости через прочий совокупный доход (за минусом налогового эффекта)» 621;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«переоценка долевых финансовых инструментов, оцениваемых по справедливой стоимости через прочий совокупный доход (за минусом налогового эффекта)» 622;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«переоценка основных средств и нематериальных активов (за минусом налогового эффекта)» 623;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«доля в прочем совокупном доходе (убытке) ассоциированных организаций и совместной деятельности, учитываемых по методу долевого участия» 624;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«актуарные прибыли (убытки) по пенсионным обязательствам» 625;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«эффект изменения в ставке подоходного налога на отсроченный налог» 626;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«хеджирование денежных потоков (за минусом налогового эффекта)» 627;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«хеджирование чистых инвестиций в зарубежные операции» 628;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«курсовая разница по инвестициям в зарубежные организации» 629;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Значение графы «Операции с собственниками всего» 700 равно сумме строк с 710 по 718,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в том числе: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«Вознаграждения работников акциями» 710;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в том числе: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стоимость услуг работников;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выпуск акций по схеме вознаграждения работников акциями;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налоговая выгода в отношении схемы вознаграждения работников акциями;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«Взносы собственников» 711;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«Выпуск собственных долевых инструментов (акций)» 712;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«Выпуск долевых инструментов, связанный с объединением бизнеса» 713;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«Долевой компонент конвертируемых инструментов (за минусом налогового эффекта)» 714;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«Выплата дивидендов» 715;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«Прочие распределения в пользу собственников» 716;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«Прочие операции с собственниками» 717;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lastRenderedPageBreak/>
        <w:t>«Изменения в доле участия в дочерних организациях, не приводящей к потере контроля» 718;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«Прочие операции 719»;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Значение графы «Сальдо на 31 декабря отчетного года» 800 равно сумме строк 500, 600, 700 и 719;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В графе «Капитал, относимый на собственников» указывается сумма в тысячах тенге, в том числе уставный капитал, эмиссионный доход, выкупленные собственные долевые инструменты, компоненты прочего совокупного дохода, нераспределенная прибыль и прочий капитал.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В графе «Доля неконтролирующих собственников» указывается сумма доли неконтролирующих собственников, в тысячах тенге.</w:t>
      </w:r>
    </w:p>
    <w:p w:rsidR="00861616" w:rsidRPr="00861616" w:rsidRDefault="00861616" w:rsidP="008616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86161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В графе «Итого капитал» указывается сумма итого капитала в тысячах тенге.</w:t>
      </w:r>
    </w:p>
    <w:p w:rsidR="00226B50" w:rsidRPr="00861616" w:rsidRDefault="00861616">
      <w:pPr>
        <w:rPr>
          <w:rFonts w:ascii="Times New Roman" w:hAnsi="Times New Roman" w:cs="Times New Roman"/>
          <w:sz w:val="24"/>
          <w:szCs w:val="24"/>
        </w:rPr>
      </w:pPr>
    </w:p>
    <w:sectPr w:rsidR="00226B50" w:rsidRPr="00861616" w:rsidSect="00731E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61616"/>
    <w:rsid w:val="00513325"/>
    <w:rsid w:val="00731EC8"/>
    <w:rsid w:val="00861616"/>
    <w:rsid w:val="00BA5F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EC8"/>
  </w:style>
  <w:style w:type="paragraph" w:styleId="4">
    <w:name w:val="heading 4"/>
    <w:basedOn w:val="a"/>
    <w:link w:val="40"/>
    <w:uiPriority w:val="9"/>
    <w:qFormat/>
    <w:rsid w:val="0086161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6161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8616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8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1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840</Words>
  <Characters>4793</Characters>
  <Application>Microsoft Office Word</Application>
  <DocSecurity>0</DocSecurity>
  <Lines>39</Lines>
  <Paragraphs>11</Paragraphs>
  <ScaleCrop>false</ScaleCrop>
  <Company/>
  <LinksUpToDate>false</LinksUpToDate>
  <CharactersWithSpaces>5622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Almas</dc:creator>
  <cp:keywords/>
  <dc:description/>
  <cp:lastModifiedBy>Almas</cp:lastModifiedBy>
  <cp:revision>2</cp:revision>
  <dcterms:created xsi:type="dcterms:W3CDTF">2020-03-31T07:43:00Z</dcterms:created>
  <dcterms:modified xsi:type="dcterms:W3CDTF">2020-03-31T07:43:00Z</dcterms:modified>
</cp:coreProperties>
</file>